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F2" w:rsidRDefault="006E1727" w:rsidP="000111F2">
      <w:pPr>
        <w:spacing w:after="0"/>
        <w:jc w:val="center"/>
        <w:rPr>
          <w:b/>
        </w:rPr>
      </w:pPr>
      <w:r>
        <w:rPr>
          <w:b/>
        </w:rPr>
        <w:t>Delaware H</w:t>
      </w:r>
      <w:r w:rsidR="000111F2">
        <w:rPr>
          <w:b/>
        </w:rPr>
        <w:t>ealth Care Claims Database (HCCD)</w:t>
      </w:r>
    </w:p>
    <w:p w:rsidR="006E1727" w:rsidRDefault="006E1727" w:rsidP="000111F2">
      <w:pPr>
        <w:spacing w:after="0"/>
        <w:jc w:val="center"/>
        <w:rPr>
          <w:b/>
        </w:rPr>
      </w:pPr>
      <w:r>
        <w:rPr>
          <w:b/>
        </w:rPr>
        <w:t>Data Submitters Workgroup Meeting</w:t>
      </w:r>
    </w:p>
    <w:p w:rsidR="000111F2" w:rsidRDefault="000111F2" w:rsidP="006E1727">
      <w:pPr>
        <w:spacing w:after="0"/>
        <w:rPr>
          <w:b/>
        </w:rPr>
      </w:pPr>
    </w:p>
    <w:p w:rsidR="000111F2" w:rsidRDefault="000111F2" w:rsidP="000111F2">
      <w:pPr>
        <w:spacing w:after="0"/>
        <w:jc w:val="center"/>
      </w:pPr>
      <w:r>
        <w:t>Tuesday, April 17</w:t>
      </w:r>
      <w:r w:rsidRPr="000111F2">
        <w:rPr>
          <w:vertAlign w:val="superscript"/>
        </w:rPr>
        <w:t>th</w:t>
      </w:r>
      <w:r>
        <w:t>, 2018</w:t>
      </w:r>
    </w:p>
    <w:p w:rsidR="006E1727" w:rsidRDefault="006E1727" w:rsidP="000111F2">
      <w:pPr>
        <w:spacing w:after="0"/>
        <w:jc w:val="center"/>
      </w:pPr>
      <w:r>
        <w:t>12:00</w:t>
      </w:r>
      <w:r w:rsidR="000111F2">
        <w:t>pm</w:t>
      </w:r>
      <w:r>
        <w:t xml:space="preserve"> – 1:00 pm ET</w:t>
      </w:r>
    </w:p>
    <w:p w:rsidR="000111F2" w:rsidRDefault="000111F2" w:rsidP="000111F2">
      <w:pPr>
        <w:spacing w:after="0"/>
        <w:jc w:val="center"/>
      </w:pPr>
      <w:r>
        <w:t>Conference Call: 1-310-372-7549 code: 488838</w:t>
      </w:r>
    </w:p>
    <w:p w:rsidR="006E1727" w:rsidRDefault="006E1727" w:rsidP="006E1727">
      <w:pPr>
        <w:spacing w:after="0"/>
      </w:pPr>
    </w:p>
    <w:p w:rsidR="006E1727" w:rsidRDefault="006E1727" w:rsidP="000111F2">
      <w:pPr>
        <w:pStyle w:val="ListParagraph"/>
        <w:numPr>
          <w:ilvl w:val="0"/>
          <w:numId w:val="12"/>
        </w:numPr>
        <w:spacing w:after="0"/>
        <w:rPr>
          <w:b/>
        </w:rPr>
      </w:pPr>
      <w:r w:rsidRPr="000111F2">
        <w:rPr>
          <w:b/>
        </w:rPr>
        <w:t>Introductions</w:t>
      </w:r>
    </w:p>
    <w:p w:rsidR="000111F2" w:rsidRDefault="000111F2" w:rsidP="000111F2">
      <w:pPr>
        <w:pStyle w:val="ListParagraph"/>
        <w:numPr>
          <w:ilvl w:val="0"/>
          <w:numId w:val="13"/>
        </w:numPr>
        <w:spacing w:after="200" w:line="276" w:lineRule="auto"/>
      </w:pPr>
      <w:r>
        <w:t>Delaware Health Information Network team</w:t>
      </w:r>
    </w:p>
    <w:p w:rsidR="000111F2" w:rsidRDefault="000111F2" w:rsidP="000111F2">
      <w:pPr>
        <w:pStyle w:val="ListParagraph"/>
        <w:numPr>
          <w:ilvl w:val="1"/>
          <w:numId w:val="13"/>
        </w:numPr>
        <w:spacing w:after="200" w:line="276" w:lineRule="auto"/>
      </w:pPr>
      <w:r>
        <w:t xml:space="preserve">Jan Lee- CEO, Randy Farmer- COO, TerriLynn Palmer- Project Manager, Angie Kaiser-  </w:t>
      </w:r>
      <w:r w:rsidR="00C722CF">
        <w:t>Clinica</w:t>
      </w:r>
      <w:r w:rsidR="006A7510">
        <w:t>l</w:t>
      </w:r>
      <w:r>
        <w:t xml:space="preserve"> Informatics Officer and Primary HCCD contract</w:t>
      </w:r>
    </w:p>
    <w:p w:rsidR="000111F2" w:rsidRDefault="000111F2" w:rsidP="000111F2">
      <w:pPr>
        <w:pStyle w:val="ListParagraph"/>
        <w:numPr>
          <w:ilvl w:val="0"/>
          <w:numId w:val="13"/>
        </w:numPr>
        <w:spacing w:after="200" w:line="276" w:lineRule="auto"/>
      </w:pPr>
      <w:r>
        <w:t xml:space="preserve">Data Submitter Representatives </w:t>
      </w:r>
    </w:p>
    <w:p w:rsidR="000111F2" w:rsidRDefault="000111F2" w:rsidP="000111F2">
      <w:pPr>
        <w:pStyle w:val="ListParagraph"/>
        <w:numPr>
          <w:ilvl w:val="1"/>
          <w:numId w:val="13"/>
        </w:numPr>
        <w:spacing w:after="200" w:line="276" w:lineRule="auto"/>
      </w:pPr>
      <w:r w:rsidRPr="000111F2">
        <w:rPr>
          <w:b/>
        </w:rPr>
        <w:t>State of Delaware:</w:t>
      </w:r>
      <w:r>
        <w:t xml:space="preserve"> Mary Marinari-DMMA Information systems</w:t>
      </w:r>
    </w:p>
    <w:p w:rsidR="000111F2" w:rsidRDefault="000111F2" w:rsidP="000111F2">
      <w:pPr>
        <w:pStyle w:val="ListParagraph"/>
        <w:numPr>
          <w:ilvl w:val="1"/>
          <w:numId w:val="13"/>
        </w:numPr>
        <w:spacing w:after="0"/>
        <w:rPr>
          <w:b/>
        </w:rPr>
      </w:pPr>
      <w:r w:rsidRPr="000111F2">
        <w:rPr>
          <w:b/>
        </w:rPr>
        <w:t>Aetna:</w:t>
      </w:r>
      <w:r>
        <w:t xml:space="preserve"> April Blazuk- Project Manager Law Information Management, Michelle Santiago- Project Lead, Mackenzie Kress- Reporting Consultant</w:t>
      </w:r>
    </w:p>
    <w:p w:rsidR="000111F2" w:rsidRDefault="000111F2" w:rsidP="000111F2">
      <w:pPr>
        <w:pStyle w:val="ListParagraph"/>
        <w:numPr>
          <w:ilvl w:val="1"/>
          <w:numId w:val="13"/>
        </w:numPr>
        <w:spacing w:after="0"/>
        <w:rPr>
          <w:b/>
        </w:rPr>
      </w:pPr>
      <w:r w:rsidRPr="000111F2">
        <w:rPr>
          <w:b/>
        </w:rPr>
        <w:t>Highmark:</w:t>
      </w:r>
      <w:r>
        <w:t xml:space="preserve"> Asniya Iqbal- Project Manager, Legal, Compliance, and IT teams, Jim Lehman</w:t>
      </w:r>
      <w:r w:rsidR="00916F97">
        <w:t>n– IT Manager</w:t>
      </w:r>
      <w:r>
        <w:t>, Ian Oman</w:t>
      </w:r>
    </w:p>
    <w:p w:rsidR="000111F2" w:rsidRDefault="000111F2" w:rsidP="000111F2">
      <w:pPr>
        <w:pStyle w:val="ListParagraph"/>
        <w:numPr>
          <w:ilvl w:val="1"/>
          <w:numId w:val="13"/>
        </w:numPr>
        <w:spacing w:after="0"/>
        <w:rPr>
          <w:b/>
        </w:rPr>
      </w:pPr>
      <w:r w:rsidRPr="000111F2">
        <w:rPr>
          <w:b/>
        </w:rPr>
        <w:t>Cigna:</w:t>
      </w:r>
      <w:r>
        <w:t xml:space="preserve"> Kimberly Ramstad- Compliance and Data Submission, Tim Maury, Rosenberg, Chad Hellsworth,  </w:t>
      </w:r>
    </w:p>
    <w:p w:rsidR="000111F2" w:rsidRDefault="000111F2" w:rsidP="000111F2">
      <w:pPr>
        <w:pStyle w:val="ListParagraph"/>
        <w:numPr>
          <w:ilvl w:val="1"/>
          <w:numId w:val="13"/>
        </w:numPr>
        <w:spacing w:after="0"/>
        <w:rPr>
          <w:b/>
        </w:rPr>
      </w:pPr>
      <w:r w:rsidRPr="000111F2">
        <w:rPr>
          <w:b/>
        </w:rPr>
        <w:t>Humana:</w:t>
      </w:r>
      <w:r>
        <w:t xml:space="preserve"> David McCash</w:t>
      </w:r>
    </w:p>
    <w:p w:rsidR="000111F2" w:rsidRDefault="000111F2" w:rsidP="000111F2">
      <w:pPr>
        <w:pStyle w:val="ListParagraph"/>
        <w:numPr>
          <w:ilvl w:val="1"/>
          <w:numId w:val="13"/>
        </w:numPr>
        <w:spacing w:after="0"/>
        <w:rPr>
          <w:b/>
        </w:rPr>
      </w:pPr>
      <w:r w:rsidRPr="00E2402B">
        <w:rPr>
          <w:b/>
        </w:rPr>
        <w:t>CVS Caremark:</w:t>
      </w:r>
      <w:r>
        <w:t xml:space="preserve"> Srinivasa Vadlamuni</w:t>
      </w:r>
      <w:r w:rsidR="00E2402B">
        <w:t xml:space="preserve"> – PBM DW Consultant, Seema Uppal-</w:t>
      </w:r>
      <w:r>
        <w:t xml:space="preserve"> Compliance</w:t>
      </w:r>
    </w:p>
    <w:p w:rsidR="000111F2" w:rsidRDefault="000111F2" w:rsidP="000111F2">
      <w:pPr>
        <w:pStyle w:val="ListParagraph"/>
        <w:numPr>
          <w:ilvl w:val="1"/>
          <w:numId w:val="13"/>
        </w:numPr>
        <w:spacing w:after="0"/>
        <w:rPr>
          <w:b/>
        </w:rPr>
      </w:pPr>
      <w:r w:rsidRPr="00E2402B">
        <w:rPr>
          <w:b/>
        </w:rPr>
        <w:t>Express Scripts:</w:t>
      </w:r>
      <w:r>
        <w:t xml:space="preserve"> Chris Moxley</w:t>
      </w:r>
      <w:r w:rsidR="00E2402B">
        <w:t>- Technical</w:t>
      </w:r>
      <w:r>
        <w:t>, Linda Ducolon</w:t>
      </w:r>
      <w:r w:rsidR="00E2402B">
        <w:t>-</w:t>
      </w:r>
      <w:r>
        <w:t xml:space="preserve"> Reporting Manager, </w:t>
      </w:r>
    </w:p>
    <w:p w:rsidR="000111F2" w:rsidRPr="006E1727" w:rsidRDefault="000111F2" w:rsidP="000111F2">
      <w:pPr>
        <w:pStyle w:val="ListParagraph"/>
        <w:numPr>
          <w:ilvl w:val="1"/>
          <w:numId w:val="13"/>
        </w:numPr>
        <w:spacing w:after="0"/>
        <w:rPr>
          <w:b/>
        </w:rPr>
      </w:pPr>
      <w:r w:rsidRPr="00E2402B">
        <w:rPr>
          <w:b/>
        </w:rPr>
        <w:t>Amerihealth:</w:t>
      </w:r>
      <w:r w:rsidR="00E2402B">
        <w:t xml:space="preserve"> Ed McLaughlin-</w:t>
      </w:r>
      <w:r>
        <w:t xml:space="preserve"> Director of </w:t>
      </w:r>
      <w:r w:rsidR="00E2402B">
        <w:t xml:space="preserve">Data and </w:t>
      </w:r>
      <w:r>
        <w:t>Technical Services</w:t>
      </w:r>
    </w:p>
    <w:p w:rsidR="000111F2" w:rsidRPr="00916F97" w:rsidRDefault="00E2402B" w:rsidP="000111F2">
      <w:pPr>
        <w:pStyle w:val="ListParagraph"/>
        <w:numPr>
          <w:ilvl w:val="1"/>
          <w:numId w:val="13"/>
        </w:numPr>
        <w:spacing w:after="0"/>
        <w:rPr>
          <w:b/>
        </w:rPr>
      </w:pPr>
      <w:r>
        <w:rPr>
          <w:b/>
        </w:rPr>
        <w:t>UHC:</w:t>
      </w:r>
      <w:r w:rsidR="000111F2">
        <w:t xml:space="preserve"> Chris Berardi</w:t>
      </w:r>
      <w:r>
        <w:t>-</w:t>
      </w:r>
      <w:r w:rsidR="000111F2">
        <w:t xml:space="preserve"> Director State Medicare Regulatory Reporting team </w:t>
      </w:r>
    </w:p>
    <w:p w:rsidR="00916F97" w:rsidRDefault="00916F97" w:rsidP="000111F2">
      <w:pPr>
        <w:pStyle w:val="ListParagraph"/>
        <w:numPr>
          <w:ilvl w:val="1"/>
          <w:numId w:val="13"/>
        </w:numPr>
        <w:spacing w:after="0"/>
        <w:rPr>
          <w:b/>
        </w:rPr>
      </w:pPr>
      <w:r>
        <w:rPr>
          <w:b/>
        </w:rPr>
        <w:t xml:space="preserve">DXC: </w:t>
      </w:r>
      <w:r>
        <w:t>Erica Evans</w:t>
      </w:r>
    </w:p>
    <w:p w:rsidR="00E2402B" w:rsidRDefault="00E2402B" w:rsidP="00E2402B">
      <w:pPr>
        <w:pStyle w:val="ListParagraph"/>
        <w:numPr>
          <w:ilvl w:val="0"/>
          <w:numId w:val="13"/>
        </w:numPr>
        <w:spacing w:after="200" w:line="276" w:lineRule="auto"/>
      </w:pPr>
      <w:r>
        <w:t xml:space="preserve">Freedman Healthcare </w:t>
      </w:r>
    </w:p>
    <w:p w:rsidR="00E2402B" w:rsidRDefault="00E2402B" w:rsidP="00E2402B">
      <w:pPr>
        <w:pStyle w:val="ListParagraph"/>
        <w:numPr>
          <w:ilvl w:val="1"/>
          <w:numId w:val="13"/>
        </w:numPr>
        <w:spacing w:after="200" w:line="276" w:lineRule="auto"/>
      </w:pPr>
      <w:r>
        <w:t>Tanya Bernstein- Sr. Consultant and Project Manager, Mary Jo Condon-Sr Consultant, Linda Green-VP Programs, Vinayak Sinha- Project Data Analyst</w:t>
      </w:r>
    </w:p>
    <w:p w:rsidR="00E2402B" w:rsidRPr="00E2402B" w:rsidRDefault="00E2402B" w:rsidP="00E2402B">
      <w:pPr>
        <w:spacing w:after="200" w:line="276" w:lineRule="auto"/>
      </w:pPr>
    </w:p>
    <w:p w:rsidR="00E2402B" w:rsidRDefault="00E2402B" w:rsidP="00E2402B">
      <w:pPr>
        <w:pStyle w:val="ListParagraph"/>
        <w:numPr>
          <w:ilvl w:val="0"/>
          <w:numId w:val="12"/>
        </w:numPr>
        <w:spacing w:after="200" w:line="276" w:lineRule="auto"/>
        <w:rPr>
          <w:b/>
        </w:rPr>
      </w:pPr>
      <w:r w:rsidRPr="00E2402B">
        <w:rPr>
          <w:b/>
        </w:rPr>
        <w:t xml:space="preserve">Data Submission Overview </w:t>
      </w:r>
    </w:p>
    <w:p w:rsidR="00E2402B" w:rsidRDefault="00E2402B" w:rsidP="00E2402B">
      <w:pPr>
        <w:pStyle w:val="ListParagraph"/>
        <w:numPr>
          <w:ilvl w:val="0"/>
          <w:numId w:val="16"/>
        </w:numPr>
        <w:spacing w:after="200" w:line="276" w:lineRule="auto"/>
      </w:pPr>
      <w:r>
        <w:t>Annual Registration and Data Submission and Use Agreement – Status Update</w:t>
      </w:r>
    </w:p>
    <w:p w:rsidR="00E2402B" w:rsidRPr="006E1727" w:rsidRDefault="00E2402B" w:rsidP="00E2402B">
      <w:pPr>
        <w:pStyle w:val="ListParagraph"/>
        <w:numPr>
          <w:ilvl w:val="1"/>
          <w:numId w:val="16"/>
        </w:numPr>
        <w:spacing w:after="0"/>
      </w:pPr>
      <w:r>
        <w:t>Annual Registration form received from almost all submitters, those who have not submitted the registration will be reached out to again</w:t>
      </w:r>
    </w:p>
    <w:p w:rsidR="00E2402B" w:rsidRDefault="00E2402B" w:rsidP="00E2402B">
      <w:pPr>
        <w:pStyle w:val="ListParagraph"/>
        <w:numPr>
          <w:ilvl w:val="1"/>
          <w:numId w:val="16"/>
        </w:numPr>
        <w:spacing w:after="0"/>
      </w:pPr>
      <w:r w:rsidRPr="006E1727">
        <w:t>DSUA is needed to receive data submission credentials</w:t>
      </w:r>
      <w:r>
        <w:t>, those who have not submitted the DSUA will be reached out to again</w:t>
      </w:r>
    </w:p>
    <w:p w:rsidR="00E2402B" w:rsidRDefault="00E2402B" w:rsidP="00E2402B">
      <w:pPr>
        <w:pStyle w:val="ListParagraph"/>
        <w:numPr>
          <w:ilvl w:val="0"/>
          <w:numId w:val="16"/>
        </w:numPr>
        <w:spacing w:after="200" w:line="276" w:lineRule="auto"/>
      </w:pPr>
      <w:r>
        <w:t>DHIN Data Submission Contact</w:t>
      </w:r>
    </w:p>
    <w:p w:rsidR="00E2402B" w:rsidRDefault="00E2402B" w:rsidP="00E2402B">
      <w:pPr>
        <w:pStyle w:val="ListParagraph"/>
        <w:numPr>
          <w:ilvl w:val="1"/>
          <w:numId w:val="16"/>
        </w:numPr>
        <w:spacing w:after="0"/>
      </w:pPr>
      <w:r>
        <w:t>All teams should have received reporting entity names and codes for test file submission on 5/1/18</w:t>
      </w:r>
    </w:p>
    <w:p w:rsidR="00E2402B" w:rsidRDefault="00E2402B" w:rsidP="00E2402B">
      <w:pPr>
        <w:pStyle w:val="ListParagraph"/>
        <w:numPr>
          <w:ilvl w:val="2"/>
          <w:numId w:val="16"/>
        </w:numPr>
        <w:spacing w:after="0"/>
      </w:pPr>
      <w:r>
        <w:t>Default is to provided single name or code, however if more than one data file is desired for more lines of business or system platforms please reach out to Angie Kaiser of DHIN</w:t>
      </w:r>
    </w:p>
    <w:p w:rsidR="00E2402B" w:rsidRDefault="00E2402B" w:rsidP="00E2402B">
      <w:pPr>
        <w:pStyle w:val="ListParagraph"/>
        <w:numPr>
          <w:ilvl w:val="0"/>
          <w:numId w:val="16"/>
        </w:numPr>
        <w:spacing w:after="200" w:line="276" w:lineRule="auto"/>
      </w:pPr>
      <w:r>
        <w:t>Data Submission Method - sFTP</w:t>
      </w:r>
    </w:p>
    <w:p w:rsidR="00E2402B" w:rsidRPr="00E2402B" w:rsidRDefault="00E2402B" w:rsidP="00E2402B">
      <w:pPr>
        <w:pStyle w:val="ListParagraph"/>
        <w:numPr>
          <w:ilvl w:val="1"/>
          <w:numId w:val="16"/>
        </w:numPr>
        <w:spacing w:after="200" w:line="276" w:lineRule="auto"/>
      </w:pPr>
      <w:r>
        <w:lastRenderedPageBreak/>
        <w:t>E-mail confirmation of file submission is not necessary</w:t>
      </w:r>
    </w:p>
    <w:p w:rsidR="00E2402B" w:rsidRPr="00E2402B" w:rsidRDefault="00E2402B" w:rsidP="00E2402B">
      <w:pPr>
        <w:pStyle w:val="ListParagraph"/>
        <w:numPr>
          <w:ilvl w:val="1"/>
          <w:numId w:val="16"/>
        </w:numPr>
        <w:spacing w:after="200" w:line="276" w:lineRule="auto"/>
      </w:pPr>
      <w:r>
        <w:t>Summary document regarding submission will be sent out 10 business days post data submission</w:t>
      </w:r>
    </w:p>
    <w:p w:rsidR="00E2402B" w:rsidRPr="00E2402B" w:rsidRDefault="00E2402B" w:rsidP="00E2402B">
      <w:pPr>
        <w:pStyle w:val="ListParagraph"/>
        <w:numPr>
          <w:ilvl w:val="2"/>
          <w:numId w:val="16"/>
        </w:numPr>
        <w:spacing w:after="200" w:line="276" w:lineRule="auto"/>
      </w:pPr>
      <w:r>
        <w:t>Document will outline whether the submission is passing or failing and what questions DHIN has regarding the data</w:t>
      </w:r>
    </w:p>
    <w:p w:rsidR="00E2402B" w:rsidRPr="00E2402B" w:rsidRDefault="00E2402B" w:rsidP="00E2402B">
      <w:pPr>
        <w:pStyle w:val="ListParagraph"/>
        <w:numPr>
          <w:ilvl w:val="1"/>
          <w:numId w:val="16"/>
        </w:numPr>
        <w:spacing w:after="200" w:line="276" w:lineRule="auto"/>
      </w:pPr>
      <w:r>
        <w:t>Support workflow document will guide transition of project into production flow</w:t>
      </w:r>
    </w:p>
    <w:p w:rsidR="00E2402B" w:rsidRPr="00E2402B" w:rsidRDefault="00E2402B" w:rsidP="00E2402B">
      <w:pPr>
        <w:pStyle w:val="ListParagraph"/>
        <w:numPr>
          <w:ilvl w:val="2"/>
          <w:numId w:val="16"/>
        </w:numPr>
        <w:spacing w:after="200" w:line="276" w:lineRule="auto"/>
      </w:pPr>
      <w:r>
        <w:t>Will identify commonly encountered issues</w:t>
      </w:r>
    </w:p>
    <w:p w:rsidR="00E2402B" w:rsidRPr="00E2402B" w:rsidRDefault="00E2402B" w:rsidP="00E2402B">
      <w:pPr>
        <w:pStyle w:val="ListParagraph"/>
        <w:numPr>
          <w:ilvl w:val="2"/>
          <w:numId w:val="16"/>
        </w:numPr>
        <w:spacing w:after="200" w:line="276" w:lineRule="auto"/>
      </w:pPr>
      <w:r>
        <w:t>Additional information for submitters, may include notifying DHIN post su</w:t>
      </w:r>
      <w:r w:rsidR="00C722CF">
        <w:t>b</w:t>
      </w:r>
      <w:bookmarkStart w:id="0" w:name="_GoBack"/>
      <w:bookmarkEnd w:id="0"/>
      <w:r>
        <w:t>sequent submissions</w:t>
      </w:r>
    </w:p>
    <w:p w:rsidR="00E2402B" w:rsidRPr="00E2402B" w:rsidRDefault="00E2402B" w:rsidP="00E2402B">
      <w:pPr>
        <w:pStyle w:val="ListParagraph"/>
        <w:numPr>
          <w:ilvl w:val="1"/>
          <w:numId w:val="16"/>
        </w:numPr>
        <w:spacing w:after="200" w:line="276" w:lineRule="auto"/>
        <w:rPr>
          <w:color w:val="4472C4" w:themeColor="accent1"/>
        </w:rPr>
      </w:pPr>
      <w:r w:rsidRPr="00E2402B">
        <w:rPr>
          <w:color w:val="4472C4" w:themeColor="accent1"/>
        </w:rPr>
        <w:t>Question from Srini of CVS Caremark: Should we expect to receive data level 1 data validation results within two weeks after the 5/1 submission?</w:t>
      </w:r>
    </w:p>
    <w:p w:rsidR="00E2402B" w:rsidRPr="00E2402B" w:rsidRDefault="00E2402B" w:rsidP="00E2402B">
      <w:pPr>
        <w:pStyle w:val="ListParagraph"/>
        <w:numPr>
          <w:ilvl w:val="2"/>
          <w:numId w:val="16"/>
        </w:numPr>
        <w:spacing w:after="200" w:line="276" w:lineRule="auto"/>
        <w:rPr>
          <w:color w:val="4472C4" w:themeColor="accent1"/>
        </w:rPr>
      </w:pPr>
      <w:r w:rsidRPr="00E2402B">
        <w:rPr>
          <w:color w:val="4472C4" w:themeColor="accent1"/>
        </w:rPr>
        <w:t>Correct, if there are substantive issues identified, DHIN is prepared to give submitters adequate time to resolve issues prior to subsequent submission.</w:t>
      </w:r>
    </w:p>
    <w:p w:rsidR="00E2402B" w:rsidRDefault="00E2402B" w:rsidP="00E2402B">
      <w:pPr>
        <w:pStyle w:val="ListParagraph"/>
        <w:numPr>
          <w:ilvl w:val="0"/>
          <w:numId w:val="16"/>
        </w:numPr>
        <w:spacing w:after="200" w:line="276" w:lineRule="auto"/>
      </w:pPr>
      <w:r>
        <w:t>Data Submission Schedule</w:t>
      </w:r>
    </w:p>
    <w:p w:rsidR="00E2402B" w:rsidRPr="00E2402B" w:rsidRDefault="00E2402B" w:rsidP="00E2402B">
      <w:pPr>
        <w:pStyle w:val="ListParagraph"/>
        <w:numPr>
          <w:ilvl w:val="1"/>
          <w:numId w:val="16"/>
        </w:numPr>
        <w:spacing w:after="200" w:line="276" w:lineRule="auto"/>
      </w:pPr>
      <w:r>
        <w:t>Files submitted for each submission: Enrollment file, medical claims file, pharmacy claims file, provider file</w:t>
      </w:r>
    </w:p>
    <w:p w:rsidR="00E2402B" w:rsidRPr="00E2402B" w:rsidRDefault="00E2402B" w:rsidP="00E2402B">
      <w:pPr>
        <w:pStyle w:val="ListParagraph"/>
        <w:numPr>
          <w:ilvl w:val="1"/>
          <w:numId w:val="16"/>
        </w:numPr>
        <w:spacing w:after="200" w:line="276" w:lineRule="auto"/>
      </w:pPr>
      <w:r>
        <w:t>All members enrolled during reporting period and all claims adjudicated during report period</w:t>
      </w:r>
    </w:p>
    <w:p w:rsidR="00E2402B" w:rsidRPr="00E2402B" w:rsidRDefault="00E2402B" w:rsidP="00E2402B">
      <w:pPr>
        <w:pStyle w:val="ListParagraph"/>
        <w:numPr>
          <w:ilvl w:val="1"/>
          <w:numId w:val="16"/>
        </w:numPr>
        <w:spacing w:after="200" w:line="276" w:lineRule="auto"/>
      </w:pPr>
      <w:r>
        <w:t>Modified, adjusted, and partially denied claims</w:t>
      </w:r>
    </w:p>
    <w:p w:rsidR="00E2402B" w:rsidRPr="00E2402B" w:rsidRDefault="00E2402B" w:rsidP="00E2402B">
      <w:pPr>
        <w:pStyle w:val="ListParagraph"/>
        <w:numPr>
          <w:ilvl w:val="1"/>
          <w:numId w:val="16"/>
        </w:numPr>
        <w:spacing w:after="200" w:line="276" w:lineRule="auto"/>
      </w:pPr>
      <w:r>
        <w:t>Schedule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79"/>
        <w:gridCol w:w="2011"/>
        <w:gridCol w:w="2160"/>
      </w:tblGrid>
      <w:tr w:rsidR="00E2402B" w:rsidTr="00C711CB">
        <w:trPr>
          <w:trHeight w:val="463"/>
        </w:trPr>
        <w:tc>
          <w:tcPr>
            <w:tcW w:w="5665" w:type="dxa"/>
            <w:shd w:val="clear" w:color="auto" w:fill="FFFFFF"/>
            <w:tcMar>
              <w:top w:w="0" w:type="dxa"/>
              <w:left w:w="108" w:type="dxa"/>
              <w:bottom w:w="0" w:type="dxa"/>
              <w:right w:w="108" w:type="dxa"/>
            </w:tcMar>
            <w:hideMark/>
          </w:tcPr>
          <w:p w:rsidR="00E2402B" w:rsidRDefault="00E2402B" w:rsidP="00C711CB">
            <w:pPr>
              <w:spacing w:after="0" w:line="240" w:lineRule="auto"/>
              <w:rPr>
                <w:color w:val="222222"/>
                <w:sz w:val="24"/>
                <w:szCs w:val="24"/>
              </w:rPr>
            </w:pPr>
            <w:r>
              <w:rPr>
                <w:b/>
                <w:bCs/>
                <w:color w:val="222222"/>
              </w:rPr>
              <w:t>Submission</w:t>
            </w:r>
          </w:p>
        </w:tc>
        <w:tc>
          <w:tcPr>
            <w:tcW w:w="2105" w:type="dxa"/>
            <w:shd w:val="clear" w:color="auto" w:fill="FFFFFF"/>
            <w:tcMar>
              <w:top w:w="0" w:type="dxa"/>
              <w:left w:w="108" w:type="dxa"/>
              <w:bottom w:w="0" w:type="dxa"/>
              <w:right w:w="108" w:type="dxa"/>
            </w:tcMar>
            <w:hideMark/>
          </w:tcPr>
          <w:p w:rsidR="00E2402B" w:rsidRDefault="00E2402B" w:rsidP="00C711CB">
            <w:pPr>
              <w:spacing w:after="0" w:line="240" w:lineRule="auto"/>
              <w:rPr>
                <w:color w:val="222222"/>
                <w:sz w:val="24"/>
                <w:szCs w:val="24"/>
              </w:rPr>
            </w:pPr>
            <w:r>
              <w:rPr>
                <w:b/>
                <w:bCs/>
                <w:color w:val="222222"/>
              </w:rPr>
              <w:t>Submission Content</w:t>
            </w:r>
          </w:p>
          <w:p w:rsidR="00E2402B" w:rsidRDefault="00E2402B" w:rsidP="00C711CB">
            <w:pPr>
              <w:spacing w:after="0" w:line="240" w:lineRule="auto"/>
              <w:rPr>
                <w:color w:val="222222"/>
                <w:sz w:val="24"/>
                <w:szCs w:val="24"/>
              </w:rPr>
            </w:pPr>
          </w:p>
        </w:tc>
        <w:tc>
          <w:tcPr>
            <w:tcW w:w="2300" w:type="dxa"/>
            <w:shd w:val="clear" w:color="auto" w:fill="FFFFFF"/>
            <w:tcMar>
              <w:top w:w="0" w:type="dxa"/>
              <w:left w:w="108" w:type="dxa"/>
              <w:bottom w:w="0" w:type="dxa"/>
              <w:right w:w="108" w:type="dxa"/>
            </w:tcMar>
            <w:hideMark/>
          </w:tcPr>
          <w:p w:rsidR="00E2402B" w:rsidRDefault="00E2402B" w:rsidP="00C711CB">
            <w:pPr>
              <w:spacing w:after="0" w:line="240" w:lineRule="auto"/>
              <w:rPr>
                <w:color w:val="222222"/>
                <w:sz w:val="24"/>
                <w:szCs w:val="24"/>
              </w:rPr>
            </w:pPr>
            <w:r>
              <w:rPr>
                <w:b/>
                <w:bCs/>
                <w:color w:val="222222"/>
              </w:rPr>
              <w:t>Deadline to submit all files to DHIN:</w:t>
            </w:r>
          </w:p>
        </w:tc>
      </w:tr>
      <w:tr w:rsidR="00E2402B" w:rsidTr="00C711CB">
        <w:trPr>
          <w:trHeight w:val="334"/>
        </w:trPr>
        <w:tc>
          <w:tcPr>
            <w:tcW w:w="566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color w:val="222222"/>
              </w:rPr>
              <w:t>Initial, single-month data submission for testing (“Test File”)</w:t>
            </w:r>
          </w:p>
        </w:tc>
        <w:tc>
          <w:tcPr>
            <w:tcW w:w="210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3/1/18 – 3/31/18</w:t>
            </w:r>
          </w:p>
        </w:tc>
        <w:tc>
          <w:tcPr>
            <w:tcW w:w="2300"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5/1/18</w:t>
            </w:r>
          </w:p>
        </w:tc>
      </w:tr>
      <w:tr w:rsidR="00E2402B" w:rsidTr="00C711CB">
        <w:trPr>
          <w:trHeight w:val="310"/>
        </w:trPr>
        <w:tc>
          <w:tcPr>
            <w:tcW w:w="566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color w:val="222222"/>
              </w:rPr>
              <w:t>Historical Data Submission – Part I</w:t>
            </w:r>
          </w:p>
        </w:tc>
        <w:tc>
          <w:tcPr>
            <w:tcW w:w="210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color w:val="222222"/>
              </w:rPr>
              <w:t>1/1/15 – 12/31/17</w:t>
            </w:r>
          </w:p>
        </w:tc>
        <w:tc>
          <w:tcPr>
            <w:tcW w:w="2300"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6/1/18</w:t>
            </w:r>
          </w:p>
        </w:tc>
      </w:tr>
      <w:tr w:rsidR="00E2402B" w:rsidTr="00C711CB">
        <w:trPr>
          <w:trHeight w:val="310"/>
        </w:trPr>
        <w:tc>
          <w:tcPr>
            <w:tcW w:w="566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color w:val="222222"/>
              </w:rPr>
              <w:t>Historical Data Submission – Part II</w:t>
            </w:r>
          </w:p>
        </w:tc>
        <w:tc>
          <w:tcPr>
            <w:tcW w:w="210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1/1/13 – 12/31/14</w:t>
            </w:r>
          </w:p>
        </w:tc>
        <w:tc>
          <w:tcPr>
            <w:tcW w:w="2300"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7/1/18</w:t>
            </w:r>
          </w:p>
        </w:tc>
      </w:tr>
      <w:tr w:rsidR="00E2402B" w:rsidTr="00C711CB">
        <w:trPr>
          <w:trHeight w:val="310"/>
        </w:trPr>
        <w:tc>
          <w:tcPr>
            <w:tcW w:w="566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color w:val="222222"/>
              </w:rPr>
              <w:t>Partial Year Submission (“Calendar Year Catch-Up”)</w:t>
            </w:r>
          </w:p>
        </w:tc>
        <w:tc>
          <w:tcPr>
            <w:tcW w:w="2105"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1/1/18 – 6/30/18</w:t>
            </w:r>
          </w:p>
        </w:tc>
        <w:tc>
          <w:tcPr>
            <w:tcW w:w="2300" w:type="dxa"/>
            <w:shd w:val="clear" w:color="auto" w:fill="FFFFFF"/>
            <w:tcMar>
              <w:top w:w="0" w:type="dxa"/>
              <w:left w:w="108" w:type="dxa"/>
              <w:bottom w:w="0" w:type="dxa"/>
              <w:right w:w="108" w:type="dxa"/>
            </w:tcMar>
            <w:vAlign w:val="center"/>
            <w:hideMark/>
          </w:tcPr>
          <w:p w:rsidR="00E2402B" w:rsidRDefault="00E2402B" w:rsidP="00C711CB">
            <w:pPr>
              <w:spacing w:after="0" w:line="240" w:lineRule="auto"/>
              <w:rPr>
                <w:color w:val="222222"/>
                <w:sz w:val="24"/>
                <w:szCs w:val="24"/>
              </w:rPr>
            </w:pPr>
            <w:r>
              <w:rPr>
                <w:rStyle w:val="aqj"/>
              </w:rPr>
              <w:t>8/1/18</w:t>
            </w:r>
          </w:p>
        </w:tc>
      </w:tr>
      <w:tr w:rsidR="00E2402B" w:rsidTr="00C711CB">
        <w:trPr>
          <w:trHeight w:val="310"/>
        </w:trPr>
        <w:tc>
          <w:tcPr>
            <w:tcW w:w="5665" w:type="dxa"/>
            <w:shd w:val="clear" w:color="auto" w:fill="FFFFFF"/>
            <w:tcMar>
              <w:top w:w="0" w:type="dxa"/>
              <w:left w:w="108" w:type="dxa"/>
              <w:bottom w:w="0" w:type="dxa"/>
              <w:right w:w="108" w:type="dxa"/>
            </w:tcMar>
            <w:vAlign w:val="center"/>
          </w:tcPr>
          <w:p w:rsidR="00E2402B" w:rsidRDefault="00E2402B" w:rsidP="00C711CB">
            <w:pPr>
              <w:spacing w:after="0" w:line="240" w:lineRule="auto"/>
              <w:rPr>
                <w:color w:val="222222"/>
              </w:rPr>
            </w:pPr>
            <w:r>
              <w:rPr>
                <w:color w:val="222222"/>
              </w:rPr>
              <w:t>First Regular Data Submission</w:t>
            </w:r>
          </w:p>
        </w:tc>
        <w:tc>
          <w:tcPr>
            <w:tcW w:w="2105" w:type="dxa"/>
            <w:shd w:val="clear" w:color="auto" w:fill="FFFFFF"/>
            <w:tcMar>
              <w:top w:w="0" w:type="dxa"/>
              <w:left w:w="108" w:type="dxa"/>
              <w:bottom w:w="0" w:type="dxa"/>
              <w:right w:w="108" w:type="dxa"/>
            </w:tcMar>
            <w:vAlign w:val="center"/>
          </w:tcPr>
          <w:p w:rsidR="00E2402B" w:rsidRDefault="00E2402B" w:rsidP="00C711CB">
            <w:pPr>
              <w:spacing w:after="0" w:line="240" w:lineRule="auto"/>
              <w:rPr>
                <w:rStyle w:val="aqj"/>
                <w:color w:val="222222"/>
              </w:rPr>
            </w:pPr>
            <w:r>
              <w:rPr>
                <w:rStyle w:val="aqj"/>
                <w:color w:val="222222"/>
              </w:rPr>
              <w:t>7/1/18 – 7/31/18</w:t>
            </w:r>
          </w:p>
        </w:tc>
        <w:tc>
          <w:tcPr>
            <w:tcW w:w="2300" w:type="dxa"/>
            <w:shd w:val="clear" w:color="auto" w:fill="FFFFFF"/>
            <w:tcMar>
              <w:top w:w="0" w:type="dxa"/>
              <w:left w:w="108" w:type="dxa"/>
              <w:bottom w:w="0" w:type="dxa"/>
              <w:right w:w="108" w:type="dxa"/>
            </w:tcMar>
            <w:vAlign w:val="center"/>
          </w:tcPr>
          <w:p w:rsidR="00E2402B" w:rsidRDefault="00E2402B" w:rsidP="00C711CB">
            <w:pPr>
              <w:spacing w:after="0" w:line="240" w:lineRule="auto"/>
              <w:rPr>
                <w:rStyle w:val="aqj"/>
              </w:rPr>
            </w:pPr>
            <w:r>
              <w:rPr>
                <w:rStyle w:val="aqj"/>
              </w:rPr>
              <w:t>9/1/18</w:t>
            </w:r>
          </w:p>
        </w:tc>
      </w:tr>
    </w:tbl>
    <w:p w:rsidR="00E2402B" w:rsidRDefault="00E2402B" w:rsidP="00E2402B">
      <w:pPr>
        <w:pStyle w:val="ListParagraph"/>
        <w:spacing w:after="200" w:line="276" w:lineRule="auto"/>
        <w:ind w:left="1440"/>
      </w:pPr>
    </w:p>
    <w:p w:rsidR="00E2402B" w:rsidRPr="00E2402B" w:rsidRDefault="00E2402B" w:rsidP="00E2402B">
      <w:pPr>
        <w:pStyle w:val="ListParagraph"/>
        <w:numPr>
          <w:ilvl w:val="1"/>
          <w:numId w:val="16"/>
        </w:numPr>
        <w:spacing w:after="200" w:line="276" w:lineRule="auto"/>
      </w:pPr>
      <w:r>
        <w:t>Enrollment file is collected by month, should include a line per month individual is enrolled</w:t>
      </w:r>
    </w:p>
    <w:p w:rsidR="00E2402B" w:rsidRPr="00E2402B" w:rsidRDefault="00E2402B" w:rsidP="00E2402B">
      <w:pPr>
        <w:pStyle w:val="ListParagraph"/>
        <w:numPr>
          <w:ilvl w:val="1"/>
          <w:numId w:val="16"/>
        </w:numPr>
        <w:spacing w:after="200" w:line="276" w:lineRule="auto"/>
      </w:pPr>
      <w:r>
        <w:t>If historic submission is overly burdensome, please submit an overrides and exceptions form found on the DHIN website</w:t>
      </w:r>
    </w:p>
    <w:p w:rsidR="00E2402B" w:rsidRPr="00E2402B" w:rsidRDefault="00E2402B" w:rsidP="00E2402B">
      <w:pPr>
        <w:pStyle w:val="ListParagraph"/>
        <w:numPr>
          <w:ilvl w:val="1"/>
          <w:numId w:val="16"/>
        </w:numPr>
        <w:spacing w:after="200" w:line="276" w:lineRule="auto"/>
        <w:rPr>
          <w:color w:val="4472C4" w:themeColor="accent1"/>
        </w:rPr>
      </w:pPr>
      <w:r w:rsidRPr="00E2402B">
        <w:rPr>
          <w:color w:val="4472C4" w:themeColor="accent1"/>
        </w:rPr>
        <w:t>Question from Jim Lehman of Highmark: Is the submission schedule outlined for 2018 or will this be for 2019 as well?</w:t>
      </w:r>
    </w:p>
    <w:p w:rsidR="003F6996" w:rsidRPr="006A7510" w:rsidRDefault="00E2402B" w:rsidP="006A7510">
      <w:pPr>
        <w:pStyle w:val="ListParagraph"/>
        <w:numPr>
          <w:ilvl w:val="2"/>
          <w:numId w:val="16"/>
        </w:numPr>
        <w:spacing w:after="200" w:line="276" w:lineRule="auto"/>
        <w:rPr>
          <w:color w:val="4472C4" w:themeColor="accent1"/>
        </w:rPr>
      </w:pPr>
      <w:r w:rsidRPr="00E2402B">
        <w:rPr>
          <w:color w:val="4472C4" w:themeColor="accent1"/>
        </w:rPr>
        <w:t>Submissions will follow the same schedule for 2018 and 2019 with the lag and processing time identified in the last line of the submission schedule above</w:t>
      </w:r>
      <w:r w:rsidR="006A7510">
        <w:rPr>
          <w:color w:val="4472C4" w:themeColor="accent1"/>
        </w:rPr>
        <w:t>.</w:t>
      </w:r>
    </w:p>
    <w:p w:rsidR="003F6996" w:rsidRDefault="003F6996" w:rsidP="003F6996">
      <w:pPr>
        <w:spacing w:after="0"/>
        <w:rPr>
          <w:i/>
        </w:rPr>
      </w:pPr>
    </w:p>
    <w:p w:rsidR="006A7510" w:rsidRPr="006A7510" w:rsidRDefault="006A7510" w:rsidP="006A7510">
      <w:pPr>
        <w:pStyle w:val="ListParagraph"/>
        <w:numPr>
          <w:ilvl w:val="0"/>
          <w:numId w:val="12"/>
        </w:numPr>
        <w:spacing w:after="200" w:line="276" w:lineRule="auto"/>
        <w:rPr>
          <w:b/>
        </w:rPr>
      </w:pPr>
      <w:r w:rsidRPr="006A7510">
        <w:rPr>
          <w:b/>
        </w:rPr>
        <w:t xml:space="preserve">Variance Request Process </w:t>
      </w:r>
    </w:p>
    <w:p w:rsidR="006A7510" w:rsidRDefault="006A7510" w:rsidP="006A7510">
      <w:pPr>
        <w:pStyle w:val="ListParagraph"/>
        <w:numPr>
          <w:ilvl w:val="0"/>
          <w:numId w:val="18"/>
        </w:numPr>
        <w:spacing w:after="200" w:line="276" w:lineRule="auto"/>
        <w:ind w:left="720"/>
      </w:pPr>
      <w:r>
        <w:t>Review of process as outlined in DSG</w:t>
      </w:r>
    </w:p>
    <w:p w:rsidR="006A7510" w:rsidRPr="00940DC7" w:rsidRDefault="006A7510" w:rsidP="006A7510">
      <w:pPr>
        <w:pStyle w:val="ListParagraph"/>
        <w:numPr>
          <w:ilvl w:val="0"/>
          <w:numId w:val="19"/>
        </w:numPr>
        <w:spacing w:after="200" w:line="276" w:lineRule="auto"/>
        <w:ind w:left="1440"/>
      </w:pPr>
      <w:r>
        <w:lastRenderedPageBreak/>
        <w:t>Request waiver, exception, or extension for a reporting requirement</w:t>
      </w:r>
    </w:p>
    <w:p w:rsidR="006A7510" w:rsidRDefault="006A7510" w:rsidP="006A7510">
      <w:pPr>
        <w:pStyle w:val="ListParagraph"/>
        <w:numPr>
          <w:ilvl w:val="0"/>
          <w:numId w:val="19"/>
        </w:numPr>
        <w:spacing w:after="200" w:line="276" w:lineRule="auto"/>
        <w:ind w:left="1440"/>
      </w:pPr>
      <w:r w:rsidRPr="00940DC7">
        <w:t>E-mail completed forms to Angie Kaiser, a response will be sent within ten business days</w:t>
      </w:r>
    </w:p>
    <w:p w:rsidR="006A7510" w:rsidRDefault="006A7510" w:rsidP="006A7510">
      <w:pPr>
        <w:pStyle w:val="ListParagraph"/>
        <w:numPr>
          <w:ilvl w:val="0"/>
          <w:numId w:val="19"/>
        </w:numPr>
        <w:spacing w:after="200" w:line="276" w:lineRule="auto"/>
        <w:ind w:left="1440"/>
      </w:pPr>
      <w:r>
        <w:t>Can be completed pre or post submission of files</w:t>
      </w:r>
    </w:p>
    <w:p w:rsidR="006A7510" w:rsidRDefault="006A7510" w:rsidP="006A7510">
      <w:pPr>
        <w:spacing w:after="200" w:line="276" w:lineRule="auto"/>
      </w:pPr>
    </w:p>
    <w:p w:rsidR="006A7510" w:rsidRPr="006A7510" w:rsidRDefault="006A7510" w:rsidP="006A7510">
      <w:pPr>
        <w:pStyle w:val="ListParagraph"/>
        <w:numPr>
          <w:ilvl w:val="0"/>
          <w:numId w:val="12"/>
        </w:numPr>
        <w:spacing w:after="200" w:line="276" w:lineRule="auto"/>
        <w:rPr>
          <w:b/>
        </w:rPr>
      </w:pPr>
      <w:r w:rsidRPr="006A7510">
        <w:rPr>
          <w:b/>
        </w:rPr>
        <w:t>Data Validation Process</w:t>
      </w:r>
    </w:p>
    <w:p w:rsidR="006A7510" w:rsidRDefault="006A7510" w:rsidP="006A7510">
      <w:pPr>
        <w:pStyle w:val="ListParagraph"/>
        <w:numPr>
          <w:ilvl w:val="0"/>
          <w:numId w:val="21"/>
        </w:numPr>
        <w:spacing w:after="200" w:line="276" w:lineRule="auto"/>
      </w:pPr>
      <w:r>
        <w:t>Level 1 Validations (after every submission)</w:t>
      </w:r>
    </w:p>
    <w:p w:rsidR="006A7510" w:rsidRDefault="006A7510" w:rsidP="006A7510">
      <w:pPr>
        <w:pStyle w:val="ListParagraph"/>
        <w:numPr>
          <w:ilvl w:val="1"/>
          <w:numId w:val="21"/>
        </w:numPr>
        <w:spacing w:after="200" w:line="276" w:lineRule="auto"/>
      </w:pPr>
      <w:r>
        <w:t>After data has passed initial intake</w:t>
      </w:r>
    </w:p>
    <w:p w:rsidR="006A7510" w:rsidRDefault="006A7510" w:rsidP="006A7510">
      <w:pPr>
        <w:pStyle w:val="ListParagraph"/>
        <w:numPr>
          <w:ilvl w:val="1"/>
          <w:numId w:val="21"/>
        </w:numPr>
        <w:spacing w:after="200" w:line="276" w:lineRule="auto"/>
      </w:pPr>
      <w:r>
        <w:t>Level 1 ensures data meets required formats and is reasonable (ex: % of members who are male, % of payments with negative values)</w:t>
      </w:r>
    </w:p>
    <w:p w:rsidR="006A7510" w:rsidRDefault="006A7510" w:rsidP="006A7510">
      <w:pPr>
        <w:pStyle w:val="ListParagraph"/>
        <w:numPr>
          <w:ilvl w:val="1"/>
          <w:numId w:val="21"/>
        </w:numPr>
        <w:spacing w:after="200" w:line="276" w:lineRule="auto"/>
      </w:pPr>
      <w:r>
        <w:t>Included in summary document to be provided within ten business days of submission</w:t>
      </w:r>
    </w:p>
    <w:p w:rsidR="006A7510" w:rsidRDefault="006A7510" w:rsidP="006A7510">
      <w:pPr>
        <w:pStyle w:val="ListParagraph"/>
        <w:numPr>
          <w:ilvl w:val="1"/>
          <w:numId w:val="21"/>
        </w:numPr>
        <w:spacing w:after="200" w:line="276" w:lineRule="auto"/>
      </w:pPr>
      <w:r>
        <w:t>Summary document will be sent to contact in annual registration form and will be provided after every submission</w:t>
      </w:r>
    </w:p>
    <w:p w:rsidR="006A7510" w:rsidRDefault="006A7510" w:rsidP="006A7510">
      <w:pPr>
        <w:pStyle w:val="ListParagraph"/>
        <w:numPr>
          <w:ilvl w:val="1"/>
          <w:numId w:val="21"/>
        </w:numPr>
        <w:spacing w:after="200" w:line="276" w:lineRule="auto"/>
      </w:pPr>
      <w:r>
        <w:t>DHIN acceptable ranges for these metrics to be provided in the next few weeks</w:t>
      </w:r>
    </w:p>
    <w:p w:rsidR="006A7510" w:rsidRDefault="006A7510" w:rsidP="006A7510">
      <w:pPr>
        <w:pStyle w:val="ListParagraph"/>
        <w:numPr>
          <w:ilvl w:val="0"/>
          <w:numId w:val="21"/>
        </w:numPr>
        <w:spacing w:after="200" w:line="276" w:lineRule="auto"/>
      </w:pPr>
      <w:r>
        <w:t>Level 2 Validations (annually or bi-annually)</w:t>
      </w:r>
    </w:p>
    <w:p w:rsidR="006A7510" w:rsidRDefault="006A7510" w:rsidP="006A7510">
      <w:pPr>
        <w:pStyle w:val="ListParagraph"/>
        <w:numPr>
          <w:ilvl w:val="1"/>
          <w:numId w:val="21"/>
        </w:numPr>
        <w:spacing w:after="200" w:line="276" w:lineRule="auto"/>
      </w:pPr>
      <w:r>
        <w:t>Thorough validation checks to put recently submitted data in context with other submissions from the same payer and placed in context of average of all submitters in the same line of business</w:t>
      </w:r>
    </w:p>
    <w:p w:rsidR="006A7510" w:rsidRDefault="006A7510" w:rsidP="006A7510">
      <w:pPr>
        <w:pStyle w:val="ListParagraph"/>
        <w:numPr>
          <w:ilvl w:val="2"/>
          <w:numId w:val="21"/>
        </w:numPr>
        <w:spacing w:after="200" w:line="276" w:lineRule="auto"/>
      </w:pPr>
      <w:r>
        <w:t>Include averages for member months, PMPM, allowed amounts</w:t>
      </w:r>
    </w:p>
    <w:p w:rsidR="006A7510" w:rsidRDefault="006A7510" w:rsidP="006A7510">
      <w:pPr>
        <w:pStyle w:val="ListParagraph"/>
        <w:numPr>
          <w:ilvl w:val="2"/>
          <w:numId w:val="21"/>
        </w:numPr>
        <w:spacing w:after="200" w:line="276" w:lineRule="auto"/>
      </w:pPr>
      <w:r>
        <w:t>Metrics and schedule to be determined</w:t>
      </w:r>
    </w:p>
    <w:p w:rsidR="006A7510" w:rsidRDefault="006A7510" w:rsidP="006A7510">
      <w:pPr>
        <w:pStyle w:val="ListParagraph"/>
        <w:numPr>
          <w:ilvl w:val="1"/>
          <w:numId w:val="21"/>
        </w:numPr>
        <w:spacing w:after="200" w:line="276" w:lineRule="auto"/>
      </w:pPr>
      <w:r>
        <w:t>Provided with next steps as needed</w:t>
      </w:r>
    </w:p>
    <w:p w:rsidR="006A7510" w:rsidRDefault="006A7510" w:rsidP="006A7510">
      <w:pPr>
        <w:spacing w:after="200" w:line="276" w:lineRule="auto"/>
      </w:pPr>
    </w:p>
    <w:p w:rsidR="006A7510" w:rsidRDefault="006A7510" w:rsidP="006A7510">
      <w:pPr>
        <w:pStyle w:val="ListParagraph"/>
        <w:numPr>
          <w:ilvl w:val="0"/>
          <w:numId w:val="12"/>
        </w:numPr>
        <w:spacing w:after="200" w:line="276" w:lineRule="auto"/>
        <w:rPr>
          <w:b/>
        </w:rPr>
      </w:pPr>
      <w:r>
        <w:rPr>
          <w:b/>
        </w:rPr>
        <w:t>Data Release and Reporting Overview</w:t>
      </w:r>
    </w:p>
    <w:p w:rsidR="006A7510" w:rsidRDefault="006A7510" w:rsidP="006A7510">
      <w:pPr>
        <w:pStyle w:val="ListParagraph"/>
        <w:numPr>
          <w:ilvl w:val="0"/>
          <w:numId w:val="22"/>
        </w:numPr>
        <w:spacing w:after="200" w:line="276" w:lineRule="auto"/>
      </w:pPr>
      <w:r w:rsidRPr="006A7510">
        <w:t>Overview of Data Access Regulation</w:t>
      </w:r>
    </w:p>
    <w:p w:rsidR="006A7510" w:rsidRDefault="006A7510" w:rsidP="006A7510">
      <w:pPr>
        <w:pStyle w:val="ListParagraph"/>
        <w:numPr>
          <w:ilvl w:val="1"/>
          <w:numId w:val="22"/>
        </w:numPr>
        <w:spacing w:after="0"/>
      </w:pPr>
      <w:r>
        <w:t>Data will be used for internal purposes, such as with collaborating state agencies, and with approved external parties</w:t>
      </w:r>
    </w:p>
    <w:p w:rsidR="006A7510" w:rsidRDefault="006A7510" w:rsidP="006A7510">
      <w:pPr>
        <w:pStyle w:val="ListParagraph"/>
        <w:numPr>
          <w:ilvl w:val="1"/>
          <w:numId w:val="22"/>
        </w:numPr>
        <w:spacing w:after="0"/>
      </w:pPr>
      <w:r>
        <w:t>Public reports will always be at the aggregate level</w:t>
      </w:r>
    </w:p>
    <w:p w:rsidR="006A7510" w:rsidRDefault="006A7510" w:rsidP="006A7510">
      <w:pPr>
        <w:pStyle w:val="ListParagraph"/>
        <w:numPr>
          <w:ilvl w:val="1"/>
          <w:numId w:val="22"/>
        </w:numPr>
        <w:spacing w:after="0"/>
      </w:pPr>
      <w:r>
        <w:t>Reports will follow HIPAA and CMS cell suppression policy</w:t>
      </w:r>
    </w:p>
    <w:p w:rsidR="006A7510" w:rsidRDefault="006A7510" w:rsidP="006A7510">
      <w:pPr>
        <w:pStyle w:val="ListParagraph"/>
        <w:numPr>
          <w:ilvl w:val="1"/>
          <w:numId w:val="22"/>
        </w:numPr>
        <w:spacing w:after="0"/>
      </w:pPr>
      <w:r>
        <w:t>Approval from committee is required if any pricing or cost information is included</w:t>
      </w:r>
    </w:p>
    <w:p w:rsidR="006A7510" w:rsidRDefault="006A7510" w:rsidP="006A7510">
      <w:pPr>
        <w:pStyle w:val="ListParagraph"/>
        <w:numPr>
          <w:ilvl w:val="1"/>
          <w:numId w:val="22"/>
        </w:numPr>
        <w:spacing w:after="0"/>
      </w:pPr>
      <w:r>
        <w:t>Committee considerations and member specifications are outlined in the Data Access Regulation</w:t>
      </w:r>
    </w:p>
    <w:p w:rsidR="006A7510" w:rsidRDefault="006A7510" w:rsidP="006A7510">
      <w:pPr>
        <w:pStyle w:val="ListParagraph"/>
        <w:numPr>
          <w:ilvl w:val="1"/>
          <w:numId w:val="22"/>
        </w:numPr>
        <w:spacing w:after="0"/>
      </w:pPr>
      <w:r>
        <w:t>DHIN will notify any submitter whose data is being requested and gives the submitter an option to comment or respond on the research project involving the data</w:t>
      </w:r>
    </w:p>
    <w:p w:rsidR="006A7510" w:rsidRPr="006A7510" w:rsidRDefault="006A7510" w:rsidP="006A7510">
      <w:pPr>
        <w:pStyle w:val="ListParagraph"/>
        <w:numPr>
          <w:ilvl w:val="1"/>
          <w:numId w:val="22"/>
        </w:numPr>
        <w:spacing w:after="0"/>
      </w:pPr>
      <w:r>
        <w:t>Data Access Regulation components and committee will begin to be implemented after data collection has begun</w:t>
      </w:r>
    </w:p>
    <w:p w:rsidR="006A7510" w:rsidRDefault="006A7510" w:rsidP="006A7510">
      <w:pPr>
        <w:pStyle w:val="ListParagraph"/>
        <w:numPr>
          <w:ilvl w:val="0"/>
          <w:numId w:val="22"/>
        </w:numPr>
        <w:spacing w:after="200" w:line="276" w:lineRule="auto"/>
      </w:pPr>
      <w:r w:rsidRPr="006A7510">
        <w:t>Next steps re: Committee Appointment and Reporting Strategy</w:t>
      </w:r>
    </w:p>
    <w:p w:rsidR="006A7510" w:rsidRDefault="006A7510" w:rsidP="006A7510">
      <w:pPr>
        <w:pStyle w:val="ListParagraph"/>
        <w:numPr>
          <w:ilvl w:val="1"/>
          <w:numId w:val="22"/>
        </w:numPr>
        <w:spacing w:after="0"/>
      </w:pPr>
      <w:r>
        <w:t>Reporting strategy on public reports will be put together by DHIN and shared with stakeholders in coming months</w:t>
      </w:r>
    </w:p>
    <w:p w:rsidR="006A7510" w:rsidRDefault="006A7510" w:rsidP="006A7510">
      <w:pPr>
        <w:pStyle w:val="ListParagraph"/>
        <w:numPr>
          <w:ilvl w:val="1"/>
          <w:numId w:val="22"/>
        </w:numPr>
        <w:spacing w:after="0"/>
      </w:pPr>
      <w:r>
        <w:t>DHIN Board of Directors has appointed five members of the Board to the committee</w:t>
      </w:r>
    </w:p>
    <w:p w:rsidR="006A7510" w:rsidRDefault="006A7510" w:rsidP="006A7510">
      <w:pPr>
        <w:pStyle w:val="ListParagraph"/>
        <w:numPr>
          <w:ilvl w:val="2"/>
          <w:numId w:val="22"/>
        </w:numPr>
        <w:spacing w:after="0"/>
      </w:pPr>
      <w:r>
        <w:t>In addition to this, the DHIN Board of Directors has received five external nominations for the committee</w:t>
      </w:r>
    </w:p>
    <w:p w:rsidR="006A7510" w:rsidRDefault="006A7510" w:rsidP="006A7510">
      <w:pPr>
        <w:pStyle w:val="ListParagraph"/>
        <w:numPr>
          <w:ilvl w:val="2"/>
          <w:numId w:val="22"/>
        </w:numPr>
        <w:spacing w:after="0"/>
      </w:pPr>
      <w:r>
        <w:lastRenderedPageBreak/>
        <w:t>Next meeting of board on 4/25/2018 will consider these nominations</w:t>
      </w:r>
    </w:p>
    <w:p w:rsidR="006A7510" w:rsidRDefault="006A7510" w:rsidP="006A7510">
      <w:pPr>
        <w:pStyle w:val="ListParagraph"/>
        <w:numPr>
          <w:ilvl w:val="0"/>
          <w:numId w:val="12"/>
        </w:numPr>
        <w:spacing w:after="200" w:line="276" w:lineRule="auto"/>
        <w:rPr>
          <w:b/>
        </w:rPr>
      </w:pPr>
      <w:r w:rsidRPr="006A7510">
        <w:rPr>
          <w:b/>
        </w:rPr>
        <w:t xml:space="preserve">Next Steps </w:t>
      </w:r>
    </w:p>
    <w:p w:rsidR="006A7510" w:rsidRDefault="006A7510" w:rsidP="006A7510">
      <w:pPr>
        <w:pStyle w:val="ListParagraph"/>
        <w:numPr>
          <w:ilvl w:val="0"/>
          <w:numId w:val="23"/>
        </w:numPr>
        <w:spacing w:after="0"/>
      </w:pPr>
      <w:r>
        <w:t>Please complete outstanding annual registration and DSUAs to receive sFTP credentials</w:t>
      </w:r>
    </w:p>
    <w:p w:rsidR="006A7510" w:rsidRPr="006A7510" w:rsidRDefault="006A7510" w:rsidP="006A7510">
      <w:pPr>
        <w:pStyle w:val="ListParagraph"/>
        <w:numPr>
          <w:ilvl w:val="0"/>
          <w:numId w:val="23"/>
        </w:numPr>
        <w:spacing w:after="0"/>
        <w:rPr>
          <w:color w:val="4472C4" w:themeColor="accent1"/>
        </w:rPr>
      </w:pPr>
      <w:r w:rsidRPr="006A7510">
        <w:rPr>
          <w:color w:val="4472C4" w:themeColor="accent1"/>
        </w:rPr>
        <w:t>Question from Ian Oman of Highmark: There is heightened privacy disclosure concerning some claims, such as substance abuse – Does DHIN have a process for this?</w:t>
      </w:r>
    </w:p>
    <w:p w:rsidR="006A7510" w:rsidRPr="006A7510" w:rsidRDefault="006A7510" w:rsidP="006A7510">
      <w:pPr>
        <w:pStyle w:val="ListParagraph"/>
        <w:numPr>
          <w:ilvl w:val="1"/>
          <w:numId w:val="23"/>
        </w:numPr>
        <w:spacing w:after="0"/>
        <w:rPr>
          <w:color w:val="4472C4" w:themeColor="accent1"/>
        </w:rPr>
      </w:pPr>
      <w:r w:rsidRPr="006A7510">
        <w:rPr>
          <w:color w:val="4472C4" w:themeColor="accent1"/>
        </w:rPr>
        <w:t xml:space="preserve">Send an e-mail outlining the issue and DHIN will respond. Concerns will be addressed on a case-by-case basis. </w:t>
      </w:r>
    </w:p>
    <w:p w:rsidR="00D87A56" w:rsidRPr="00D87A56" w:rsidRDefault="00D87A56" w:rsidP="006A7510">
      <w:pPr>
        <w:spacing w:after="0"/>
      </w:pPr>
      <w:r>
        <w:t xml:space="preserve"> </w:t>
      </w:r>
    </w:p>
    <w:sectPr w:rsidR="00D87A56" w:rsidRPr="00D8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85"/>
    <w:multiLevelType w:val="hybridMultilevel"/>
    <w:tmpl w:val="0190358A"/>
    <w:lvl w:ilvl="0" w:tplc="04090015">
      <w:start w:val="1"/>
      <w:numFmt w:val="upperLetter"/>
      <w:lvlText w:val="%1."/>
      <w:lvlJc w:val="left"/>
      <w:pPr>
        <w:ind w:left="1080" w:hanging="720"/>
      </w:pPr>
    </w:lvl>
    <w:lvl w:ilvl="1" w:tplc="62A0F202">
      <w:start w:val="1"/>
      <w:numFmt w:val="upperLetter"/>
      <w:lvlText w:val="%2."/>
      <w:lvlJc w:val="left"/>
      <w:pPr>
        <w:ind w:left="1440" w:hanging="360"/>
      </w:pPr>
      <w:rPr>
        <w:b w:val="0"/>
      </w:rPr>
    </w:lvl>
    <w:lvl w:ilvl="2" w:tplc="5E962C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6F30EE"/>
    <w:multiLevelType w:val="hybridMultilevel"/>
    <w:tmpl w:val="8EF2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C7713"/>
    <w:multiLevelType w:val="hybridMultilevel"/>
    <w:tmpl w:val="A82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340"/>
    <w:multiLevelType w:val="hybridMultilevel"/>
    <w:tmpl w:val="593E043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1830EA"/>
    <w:multiLevelType w:val="hybridMultilevel"/>
    <w:tmpl w:val="91A4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3055E"/>
    <w:multiLevelType w:val="hybridMultilevel"/>
    <w:tmpl w:val="E9FCEA54"/>
    <w:lvl w:ilvl="0" w:tplc="E5DEF8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90638C"/>
    <w:multiLevelType w:val="hybridMultilevel"/>
    <w:tmpl w:val="56C40D84"/>
    <w:lvl w:ilvl="0" w:tplc="E5DEF8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617E2"/>
    <w:multiLevelType w:val="hybridMultilevel"/>
    <w:tmpl w:val="F5045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7C0BC2"/>
    <w:multiLevelType w:val="hybridMultilevel"/>
    <w:tmpl w:val="9F5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474F8"/>
    <w:multiLevelType w:val="hybridMultilevel"/>
    <w:tmpl w:val="402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52225"/>
    <w:multiLevelType w:val="hybridMultilevel"/>
    <w:tmpl w:val="406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97DE6"/>
    <w:multiLevelType w:val="hybridMultilevel"/>
    <w:tmpl w:val="BE483FDC"/>
    <w:lvl w:ilvl="0" w:tplc="2E7CC16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236E08"/>
    <w:multiLevelType w:val="hybridMultilevel"/>
    <w:tmpl w:val="FFB0A09A"/>
    <w:lvl w:ilvl="0" w:tplc="E5DEF8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73340"/>
    <w:multiLevelType w:val="hybridMultilevel"/>
    <w:tmpl w:val="9C1C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864CE"/>
    <w:multiLevelType w:val="hybridMultilevel"/>
    <w:tmpl w:val="1920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456AF"/>
    <w:multiLevelType w:val="hybridMultilevel"/>
    <w:tmpl w:val="714E39FA"/>
    <w:lvl w:ilvl="0" w:tplc="E5DEF8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A7085"/>
    <w:multiLevelType w:val="hybridMultilevel"/>
    <w:tmpl w:val="C02257A8"/>
    <w:lvl w:ilvl="0" w:tplc="5114ECCA">
      <w:start w:val="1"/>
      <w:numFmt w:val="upperRoman"/>
      <w:lvlText w:val="%1."/>
      <w:lvlJc w:val="left"/>
      <w:pPr>
        <w:ind w:left="-720" w:hanging="720"/>
      </w:pPr>
    </w:lvl>
    <w:lvl w:ilvl="1" w:tplc="62A0F202">
      <w:start w:val="1"/>
      <w:numFmt w:val="upperLetter"/>
      <w:lvlText w:val="%2."/>
      <w:lvlJc w:val="left"/>
      <w:pPr>
        <w:ind w:left="-360" w:hanging="360"/>
      </w:pPr>
      <w:rPr>
        <w:b w:val="0"/>
      </w:rPr>
    </w:lvl>
    <w:lvl w:ilvl="2" w:tplc="5E962C48">
      <w:start w:val="1"/>
      <w:numFmt w:val="lowerRoman"/>
      <w:lvlText w:val="%3."/>
      <w:lvlJc w:val="right"/>
      <w:pPr>
        <w:ind w:left="360" w:hanging="180"/>
      </w:pPr>
      <w:rPr>
        <w:b w:val="0"/>
      </w:r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17" w15:restartNumberingAfterBreak="0">
    <w:nsid w:val="70A0786C"/>
    <w:multiLevelType w:val="hybridMultilevel"/>
    <w:tmpl w:val="D556F870"/>
    <w:lvl w:ilvl="0" w:tplc="A97436F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770CE0"/>
    <w:multiLevelType w:val="hybridMultilevel"/>
    <w:tmpl w:val="EC1C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811AD0"/>
    <w:multiLevelType w:val="hybridMultilevel"/>
    <w:tmpl w:val="A026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4"/>
  </w:num>
  <w:num w:numId="4">
    <w:abstractNumId w:val="8"/>
  </w:num>
  <w:num w:numId="5">
    <w:abstractNumId w:val="19"/>
  </w:num>
  <w:num w:numId="6">
    <w:abstractNumId w:val="10"/>
  </w:num>
  <w:num w:numId="7">
    <w:abstractNumId w:val="2"/>
  </w:num>
  <w:num w:numId="8">
    <w:abstractNumId w:val="1"/>
  </w:num>
  <w:num w:numId="9">
    <w:abstractNumId w:val="9"/>
  </w:num>
  <w:num w:numId="10">
    <w:abstractNumId w:val="4"/>
  </w:num>
  <w:num w:numId="11">
    <w:abstractNumId w:val="13"/>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3"/>
  </w:num>
  <w:num w:numId="20">
    <w:abstractNumId w:val="0"/>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7"/>
    <w:rsid w:val="000111F2"/>
    <w:rsid w:val="00133699"/>
    <w:rsid w:val="0037642C"/>
    <w:rsid w:val="003F6996"/>
    <w:rsid w:val="00486FDB"/>
    <w:rsid w:val="006A7510"/>
    <w:rsid w:val="006E1727"/>
    <w:rsid w:val="00916F97"/>
    <w:rsid w:val="00940DC7"/>
    <w:rsid w:val="00AD0874"/>
    <w:rsid w:val="00B94707"/>
    <w:rsid w:val="00C722CF"/>
    <w:rsid w:val="00D87A56"/>
    <w:rsid w:val="00DD5527"/>
    <w:rsid w:val="00E2402B"/>
    <w:rsid w:val="00F14727"/>
    <w:rsid w:val="00F5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6627"/>
  <w15:chartTrackingRefBased/>
  <w15:docId w15:val="{DEE69C8D-9A8D-46B3-BAA0-88C33898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27"/>
    <w:pPr>
      <w:ind w:left="720"/>
      <w:contextualSpacing/>
    </w:pPr>
  </w:style>
  <w:style w:type="character" w:customStyle="1" w:styleId="aqj">
    <w:name w:val="aqj"/>
    <w:basedOn w:val="DefaultParagraphFont"/>
    <w:rsid w:val="003F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3953">
      <w:bodyDiv w:val="1"/>
      <w:marLeft w:val="0"/>
      <w:marRight w:val="0"/>
      <w:marTop w:val="0"/>
      <w:marBottom w:val="0"/>
      <w:divBdr>
        <w:top w:val="none" w:sz="0" w:space="0" w:color="auto"/>
        <w:left w:val="none" w:sz="0" w:space="0" w:color="auto"/>
        <w:bottom w:val="none" w:sz="0" w:space="0" w:color="auto"/>
        <w:right w:val="none" w:sz="0" w:space="0" w:color="auto"/>
      </w:divBdr>
    </w:div>
    <w:div w:id="838351305">
      <w:bodyDiv w:val="1"/>
      <w:marLeft w:val="0"/>
      <w:marRight w:val="0"/>
      <w:marTop w:val="0"/>
      <w:marBottom w:val="0"/>
      <w:divBdr>
        <w:top w:val="none" w:sz="0" w:space="0" w:color="auto"/>
        <w:left w:val="none" w:sz="0" w:space="0" w:color="auto"/>
        <w:bottom w:val="none" w:sz="0" w:space="0" w:color="auto"/>
        <w:right w:val="none" w:sz="0" w:space="0" w:color="auto"/>
      </w:divBdr>
    </w:div>
    <w:div w:id="985551563">
      <w:bodyDiv w:val="1"/>
      <w:marLeft w:val="0"/>
      <w:marRight w:val="0"/>
      <w:marTop w:val="0"/>
      <w:marBottom w:val="0"/>
      <w:divBdr>
        <w:top w:val="none" w:sz="0" w:space="0" w:color="auto"/>
        <w:left w:val="none" w:sz="0" w:space="0" w:color="auto"/>
        <w:bottom w:val="none" w:sz="0" w:space="0" w:color="auto"/>
        <w:right w:val="none" w:sz="0" w:space="0" w:color="auto"/>
      </w:divBdr>
    </w:div>
    <w:div w:id="1364403732">
      <w:bodyDiv w:val="1"/>
      <w:marLeft w:val="0"/>
      <w:marRight w:val="0"/>
      <w:marTop w:val="0"/>
      <w:marBottom w:val="0"/>
      <w:divBdr>
        <w:top w:val="none" w:sz="0" w:space="0" w:color="auto"/>
        <w:left w:val="none" w:sz="0" w:space="0" w:color="auto"/>
        <w:bottom w:val="none" w:sz="0" w:space="0" w:color="auto"/>
        <w:right w:val="none" w:sz="0" w:space="0" w:color="auto"/>
      </w:divBdr>
    </w:div>
    <w:div w:id="1419133570">
      <w:bodyDiv w:val="1"/>
      <w:marLeft w:val="0"/>
      <w:marRight w:val="0"/>
      <w:marTop w:val="0"/>
      <w:marBottom w:val="0"/>
      <w:divBdr>
        <w:top w:val="none" w:sz="0" w:space="0" w:color="auto"/>
        <w:left w:val="none" w:sz="0" w:space="0" w:color="auto"/>
        <w:bottom w:val="none" w:sz="0" w:space="0" w:color="auto"/>
        <w:right w:val="none" w:sz="0" w:space="0" w:color="auto"/>
      </w:divBdr>
    </w:div>
    <w:div w:id="17468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7577-53F7-4372-97DA-DEFEFCE5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Vinayak Sinha</dc:creator>
  <cp:keywords/>
  <dc:description/>
  <cp:lastModifiedBy>Stacey Schiller</cp:lastModifiedBy>
  <cp:revision>5</cp:revision>
  <dcterms:created xsi:type="dcterms:W3CDTF">2018-04-17T16:02:00Z</dcterms:created>
  <dcterms:modified xsi:type="dcterms:W3CDTF">2018-04-30T19:02:00Z</dcterms:modified>
</cp:coreProperties>
</file>